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31"/>
        <w:shd w:val="clear" w:color="auto" w:fill="auto"/>
        <w:spacing w:lineRule="auto" w:line="240" w:before="0" w:after="0"/>
        <w:ind w:left="0" w:right="0" w:hanging="0"/>
        <w:rPr>
          <w:rStyle w:val="FontStyle38"/>
          <w:rFonts w:ascii="PT Astra Serif" w:hAnsi="PT Astra Serif" w:eastAsia="Arial Unicode MS" w:cs="Lucida Sans"/>
          <w:b w:val="false"/>
          <w:bCs w:val="false"/>
          <w:color w:val="000000"/>
          <w:sz w:val="28"/>
          <w:szCs w:val="28"/>
          <w:lang w:val="ru-RU" w:eastAsia="zh-CN" w:bidi="ar-SA"/>
        </w:rPr>
      </w:pPr>
      <w:r>
        <w:rPr>
          <w:rFonts w:eastAsia="Arial Unicode MS" w:cs="Lucida Sans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</w:r>
    </w:p>
    <w:tbl>
      <w:tblPr>
        <w:tblW w:w="14895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130"/>
        <w:gridCol w:w="2550"/>
        <w:gridCol w:w="2835"/>
        <w:gridCol w:w="990"/>
        <w:gridCol w:w="1425"/>
        <w:gridCol w:w="990"/>
        <w:gridCol w:w="1425"/>
        <w:gridCol w:w="1140"/>
        <w:gridCol w:w="1410"/>
      </w:tblGrid>
      <w:tr>
        <w:trPr/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района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н.п.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Источника подтопления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жилых домов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проживающего населения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т.ч. детей</w:t>
            </w:r>
          </w:p>
        </w:tc>
      </w:tr>
      <w:tr>
        <w:trPr/>
        <w:tc>
          <w:tcPr>
            <w:tcW w:w="21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35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Попадают в зону затопления</w:t>
            </w:r>
          </w:p>
        </w:tc>
      </w:tr>
      <w:tr>
        <w:trPr/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Азовский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Березовка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2615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/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Большереченский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 Большеречье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2950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10400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Большеуковский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Большие Уки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Большой Ук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3939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Уки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Большой Аев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Становка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Большой Аев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Фирстово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Большой Аев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Знаменский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Котовщиково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Нягов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Усть-Шиш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Усть-Шиш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Знаменское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Изюк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5759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Завьялово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Аев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Малая Кова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Сухое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Усть-Тамак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Качуково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Ушайра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Пристань (Заготзерно)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/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Исилькульский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г.Исилькуль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Городищенское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6194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20515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4194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Колосовский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Крайчиково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Колосовка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5497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Чапаево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Меркутлы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Жилое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Николаевка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Кутырлы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Корсино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343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Любинский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 Любинский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11583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3861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299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Северо-Любинский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 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</w:tr>
      <w:tr>
        <w:trPr/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Марьяновский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 Марьяновка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3317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8 252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1707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Муромцевский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Низовое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Тара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 Муромцево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Тара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4332</w:t>
            </w:r>
            <w:bookmarkStart w:id="0" w:name="_GoBack_Копия_1"/>
            <w:bookmarkEnd w:id="0"/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9791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358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Льнозавод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Тара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Называевский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Мангут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Ванькино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Называевск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3103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10239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2342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Котино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Бузан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Бузан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/>
            </w:pPr>
            <w:r>
              <w:rPr/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аул Бостандык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Путь социализма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Богодуховка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Кочковатка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Милютино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bookmarkStart w:id="1" w:name="_GoBack_Копия_1_Копия_1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Налимово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Гагаринка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Лорис-Меликово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Спасск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болото Данково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Черемновка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Черемново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Фомиха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Большое Фоминское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Носовка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Дурбет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Караульное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Кабаново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Утичье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Ростовка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Михайловка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ж.д.о.п. 2595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Муравьевка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Богословка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Малая Сафониха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Одесское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5773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Брезицк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Благодаровка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256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716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Лукьяновка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Желанное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1697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246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373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Буняковка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316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1001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207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Ребровка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Ульяновка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Морозовка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1 055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2 767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2" w:name="_GoBack_Копия_2"/>
            <w:bookmarkEnd w:id="2"/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Ракитинка (Морозовское СП)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1 684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Павлоградский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Липов Кут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/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Явлено-Покровка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>
        <w:trPr/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Полтавский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Бородинка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Бородинское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Русско-Полянский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Добровольск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Сибирское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Цветочное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Седельниковский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Сыщиково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Уй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Кейзес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Уй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Рагозино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Уй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Таврический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 Таврическое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2562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11712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3159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Любомировка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Лобково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Сосновка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Лапино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Веселые Рощи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Тихорецкое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263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Черниговка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Пальцевка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Тарский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Кубрино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Вставское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Орлово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Тара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Иртыш,  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6875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27146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6325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Ишеево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Уй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Коновалово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Большие Кучки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Большие Туралы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Быган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Шиш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Крапивка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Уй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Любимово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Малые Туралы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Михайловка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Поморцево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Свидерск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Сеитово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Сибиляково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Чеченево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Шкуново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Атирка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Шиш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Васисс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Шиш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Кириллино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Ложниково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Оша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Тевризский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Бродниково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Кускуны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 Тевриз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7703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Бородинка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Кузнецово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Белый Яр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Тюкалинский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Тюкалинск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Разлив, 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2809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10491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Никольское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Игренево, 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Нагибино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Максимовка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Ивановка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Скирдное, 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Орлово-Кукушкино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Федосеевка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Оброскино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Короли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Королевское, 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Богородск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Новосолдатка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Жилое, 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Усть-Ишимский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Усть-Ишим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Иртыш, р. Ишим, р. Крушинка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4137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Ашеваны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Ишим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Тюрметяки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Ишим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Атеренки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Слободчики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Ишим, р. Тентис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Кушма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Ишим, р. Тентис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3" w:name="_GoBack_Копия_1_Копия_1_Копия_1"/>
            <w:bookmarkEnd w:id="3"/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Орехово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Ишим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Малая Игиза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Ишим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Кайлы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Ишим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Летние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Уштак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Южные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Ишим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Эбаргуль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оз. Эбаргуль, 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Аксеново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Большая Бича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Большая Тебендя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Кайсы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Кайнаул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Борки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Бакшеево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Паново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21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lineRule="auto" w:line="216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Малая Бича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207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Черлакский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 Черлак, (ж.м. Затон)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Иртыш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талых вод – 57,</w:t>
            </w:r>
          </w:p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водных источников - 87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59524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194134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9575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40999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38"/>
              <w:pBdr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1772</w:t>
            </w:r>
          </w:p>
        </w:tc>
      </w:tr>
    </w:tbl>
    <w:p>
      <w:pPr>
        <w:pStyle w:val="231"/>
        <w:shd w:val="clear" w:color="auto" w:fill="auto"/>
        <w:spacing w:lineRule="auto" w:line="240" w:before="0" w:after="0"/>
        <w:ind w:left="0" w:right="0" w:hanging="0"/>
        <w:rPr>
          <w:rStyle w:val="FontStyle38"/>
          <w:rFonts w:ascii="PT Astra Serif" w:hAnsi="PT Astra Serif" w:eastAsia="Arial Unicode MS" w:cs="Lucida Sans"/>
          <w:b w:val="false"/>
          <w:bCs w:val="false"/>
          <w:color w:val="000000"/>
          <w:sz w:val="28"/>
          <w:szCs w:val="28"/>
          <w:lang w:val="ru-RU" w:eastAsia="zh-CN" w:bidi="ar-SA"/>
        </w:rPr>
      </w:pPr>
      <w:r>
        <w:rPr>
          <w:rFonts w:eastAsia="Arial Unicode MS" w:cs="Lucida Sans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rStyle w:val="FontStyle38"/>
          <w:rFonts w:ascii="PT Astra Serif" w:hAnsi="PT Astra Serif" w:eastAsia="Arial Unicode MS" w:cs="Lucida Sans"/>
          <w:b w:val="false"/>
          <w:bCs w:val="false"/>
          <w:color w:val="000000"/>
          <w:sz w:val="28"/>
          <w:szCs w:val="28"/>
          <w:lang w:val="ru-RU" w:eastAsia="zh-CN" w:bidi="ar-SA"/>
        </w:rPr>
      </w:pPr>
      <w:r>
        <w:rPr>
          <w:rFonts w:eastAsia="Arial Unicode MS" w:cs="Lucida Sans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510" w:right="113" w:firstLine="454"/>
        <w:jc w:val="both"/>
        <w:rPr>
          <w:rStyle w:val="FontStyle38"/>
          <w:rFonts w:ascii="PT Astra Serif" w:hAnsi="PT Astra Serif" w:eastAsia="Arial Unicode MS" w:cs="Lucida Sans"/>
          <w:b w:val="false"/>
          <w:bCs w:val="false"/>
          <w:i/>
          <w:i/>
          <w:iCs/>
          <w:color w:val="auto"/>
          <w:sz w:val="28"/>
          <w:szCs w:val="28"/>
          <w:lang w:val="ru-RU" w:eastAsia="zh-CN" w:bidi="ar-SA"/>
        </w:rPr>
      </w:pPr>
      <w:r>
        <w:rPr>
          <w:rFonts w:eastAsia="Arial Unicode MS" w:cs="Lucida Sans" w:ascii="PT Astra Serif" w:hAnsi="PT Astra Serif"/>
          <w:b w:val="false"/>
          <w:bCs w:val="false"/>
          <w:i/>
          <w:iCs/>
          <w:color w:val="auto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rFonts w:ascii="PT Astra Serif" w:hAnsi="PT Astra Serif" w:eastAsia="Arial Unicode MS" w:cs="Lucida Sans"/>
          <w:color w:val="000000"/>
          <w:lang w:val="ru-RU" w:eastAsia="zh-CN" w:bidi="ar-SA"/>
        </w:rPr>
      </w:pPr>
      <w:r>
        <w:rPr>
          <w:rFonts w:eastAsia="Arial Unicode MS" w:cs="Lucida Sans" w:ascii="PT Astra Serif" w:hAnsi="PT Astra Serif"/>
          <w:color w:val="000000"/>
          <w:lang w:val="ru-RU" w:eastAsia="zh-CN" w:bidi="ar-SA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rStyle w:val="FontStyle38"/>
          <w:rFonts w:ascii="PT Astra Serif" w:hAnsi="PT Astra Serif" w:eastAsia="Arial Unicode MS" w:cs="Lucida Sans"/>
          <w:b w:val="false"/>
          <w:bCs w:val="false"/>
          <w:color w:val="000000"/>
          <w:sz w:val="28"/>
          <w:szCs w:val="28"/>
          <w:lang w:val="ru-RU" w:eastAsia="zh-CN" w:bidi="ar-SA"/>
        </w:rPr>
      </w:pPr>
      <w:r>
        <w:rPr>
          <w:rFonts w:eastAsia="Arial Unicode MS" w:cs="Lucida Sans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sectPr>
      <w:headerReference w:type="default" r:id="rId2"/>
      <w:headerReference w:type="first" r:id="rId3"/>
      <w:type w:val="nextPage"/>
      <w:pgSz w:orient="landscape" w:w="16838" w:h="11906"/>
      <w:pgMar w:left="851" w:right="567" w:gutter="0" w:header="584" w:top="64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sz w:val="20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</w:p>
  <w:p>
    <w:pPr>
      <w:pStyle w:val="Style23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Lucida Sans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Normal"/>
    <w:qFormat/>
    <w:pPr>
      <w:keepNext w:val="true"/>
      <w:widowControl w:val="false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uiPriority w:val="1"/>
    <w:semiHidden/>
    <w:unhideWhenUsed/>
    <w:qFormat/>
    <w:rPr/>
  </w:style>
  <w:style w:type="character" w:styleId="51">
    <w:name w:val="Основной шрифт абзаца5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11">
    <w:name w:val="Основной шрифт абзаца1"/>
    <w:qFormat/>
    <w:rPr/>
  </w:style>
  <w:style w:type="character" w:styleId="Style10">
    <w:name w:val="Гиперссылка"/>
    <w:qFormat/>
    <w:rPr>
      <w:color w:val="0000FF"/>
      <w:u w:val="single"/>
    </w:rPr>
  </w:style>
  <w:style w:type="character" w:styleId="Oeaie">
    <w:name w:val="Oea?ie"/>
    <w:qFormat/>
    <w:rPr>
      <w:rFonts w:ascii="Wingdings" w:hAnsi="Wingdings" w:cs="Wingdings"/>
      <w:spacing w:val="0"/>
      <w:sz w:val="22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12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Blk">
    <w:name w:val="blk"/>
    <w:qFormat/>
    <w:rPr/>
  </w:style>
  <w:style w:type="character" w:styleId="Style11">
    <w:name w:val="Page Number"/>
    <w:basedOn w:val="11"/>
    <w:rPr/>
  </w:style>
  <w:style w:type="character" w:styleId="30pt">
    <w:name w:val="Основной текст (3) + 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position w:val="0"/>
      <w:sz w:val="21"/>
      <w:sz w:val="21"/>
      <w:szCs w:val="21"/>
      <w:u w:val="none"/>
      <w:vertAlign w:val="baseline"/>
      <w:lang w:val="ru-RU" w:bidi="ru-RU"/>
    </w:rPr>
  </w:style>
  <w:style w:type="character" w:styleId="111">
    <w:name w:val="Основной текст (11)_"/>
    <w:qFormat/>
    <w:rPr>
      <w:sz w:val="21"/>
      <w:szCs w:val="21"/>
      <w:shd w:fill="FFFFFF" w:val="clear"/>
      <w:lang w:bidi="ar-SA"/>
    </w:rPr>
  </w:style>
  <w:style w:type="character" w:styleId="FontStyle35">
    <w:name w:val="Font Style35"/>
    <w:qFormat/>
    <w:rPr>
      <w:rFonts w:ascii="Times New Roman" w:hAnsi="Times New Roman" w:cs="Times New Roman"/>
      <w:b/>
      <w:color w:val="000000"/>
      <w:sz w:val="26"/>
    </w:rPr>
  </w:style>
  <w:style w:type="character" w:styleId="FontStyle23">
    <w:name w:val="Font Style23"/>
    <w:qFormat/>
    <w:rPr>
      <w:rFonts w:ascii="Times New Roman" w:hAnsi="Times New Roman" w:cs="Times New Roman"/>
      <w:sz w:val="18"/>
    </w:rPr>
  </w:style>
  <w:style w:type="character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styleId="Style12">
    <w:name w:val="Основной текст Знак"/>
    <w:qFormat/>
    <w:rPr>
      <w:sz w:val="28"/>
    </w:rPr>
  </w:style>
  <w:style w:type="character" w:styleId="Apple-converted-space">
    <w:name w:val="apple-converted-space"/>
    <w:qFormat/>
    <w:rPr/>
  </w:style>
  <w:style w:type="character" w:styleId="Style13">
    <w:name w:val="Основной текст_"/>
    <w:qFormat/>
    <w:rPr>
      <w:sz w:val="27"/>
      <w:szCs w:val="27"/>
      <w:shd w:fill="FFFFFF" w:val="clear"/>
    </w:rPr>
  </w:style>
  <w:style w:type="character" w:styleId="DefaultParagraphFont" w:default="1">
    <w:name w:val="Default Paragraph Font"/>
    <w:qFormat/>
    <w:rPr/>
  </w:style>
  <w:style w:type="character" w:styleId="22">
    <w:name w:val="Основной текст (2)_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shd w:fill="FFFFFF" w:val="clear"/>
      <w:lang w:val="ru-RU" w:bidi="ru-RU"/>
    </w:rPr>
  </w:style>
  <w:style w:type="character" w:styleId="FontStyle38">
    <w:name w:val="Font Style38"/>
    <w:qFormat/>
    <w:rPr>
      <w:rFonts w:ascii="Times New Roman" w:hAnsi="Times New Roman" w:cs="Times New Roman"/>
      <w:sz w:val="26"/>
    </w:rPr>
  </w:style>
  <w:style w:type="character" w:styleId="Style14">
    <w:name w:val="Верхний колонтитул Знак"/>
    <w:qFormat/>
    <w:rPr>
      <w:sz w:val="2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PT Astra Serif" w:hAnsi="PT Astra Serif" w:cs="Lucida Sans"/>
    </w:rPr>
  </w:style>
  <w:style w:type="paragraph" w:styleId="Style18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Lucida San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Lucida Sans"/>
      <w:color w:val="auto"/>
      <w:kern w:val="0"/>
      <w:sz w:val="20"/>
      <w:szCs w:val="20"/>
      <w:lang w:val="ru-RU" w:eastAsia="zh-CN" w:bidi="ar-SA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9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53">
    <w:name w:val="Указатель5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43">
    <w:name w:val="Название объекта4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34">
    <w:name w:val="Название объекта3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35">
    <w:name w:val="Указатель3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5">
    <w:name w:val="Название объекта2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26">
    <w:name w:val="Указатель2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PT Astra Serif" w:hAnsi="PT Astra Serif" w:eastAsia="Arial Unicode MS" w:cs="Lucida Sans"/>
      <w:sz w:val="28"/>
      <w:szCs w:val="28"/>
    </w:rPr>
  </w:style>
  <w:style w:type="paragraph" w:styleId="15">
    <w:name w:val="Название объекта1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16">
    <w:name w:val="Указатель1"/>
    <w:basedOn w:val="Normal"/>
    <w:qFormat/>
    <w:pPr>
      <w:suppressLineNumbers/>
    </w:pPr>
    <w:rPr>
      <w:rFonts w:ascii="PT Astra Serif" w:hAnsi="PT Astra Serif" w:cs="Lucida Sans"/>
    </w:rPr>
  </w:style>
  <w:style w:type="paragraph" w:styleId="Style30">
    <w:name w:val="Body Text Indent"/>
    <w:basedOn w:val="Normal"/>
    <w:pPr>
      <w:spacing w:before="0" w:after="120"/>
      <w:ind w:left="283" w:right="0" w:hanging="0"/>
    </w:pPr>
    <w:rPr/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0"/>
      <w:sz w:val="20"/>
      <w:szCs w:val="20"/>
      <w:lang w:val="ru-RU" w:eastAsia="zh-CN" w:bidi="ar-SA"/>
    </w:rPr>
  </w:style>
  <w:style w:type="paragraph" w:styleId="Style31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lang w:val="en-GB"/>
    </w:rPr>
  </w:style>
  <w:style w:type="paragraph" w:styleId="Style32">
    <w:name w:val=" Знак"/>
    <w:basedOn w:val="Normal"/>
    <w:qFormat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  <w:lang w:val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 Unicode MS" w:cs="Arial"/>
      <w:color w:val="auto"/>
      <w:kern w:val="0"/>
      <w:sz w:val="20"/>
      <w:szCs w:val="20"/>
      <w:lang w:val="ru-RU" w:eastAsia="zh-CN" w:bidi="ar-SA"/>
    </w:rPr>
  </w:style>
  <w:style w:type="paragraph" w:styleId="17">
    <w:name w:val=" Знак1"/>
    <w:basedOn w:val="Normal"/>
    <w:qFormat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112">
    <w:name w:val="Основной текст (11)"/>
    <w:basedOn w:val="Normal"/>
    <w:qFormat/>
    <w:pPr>
      <w:widowControl w:val="false"/>
      <w:shd w:val="clear" w:color="auto" w:fill="FFFFFF"/>
      <w:spacing w:lineRule="exact" w:line="235"/>
      <w:ind w:left="0" w:right="0" w:firstLine="680"/>
      <w:jc w:val="both"/>
    </w:pPr>
    <w:rPr>
      <w:sz w:val="21"/>
      <w:szCs w:val="21"/>
      <w:shd w:fill="FFFFFF" w:val="clear"/>
    </w:rPr>
  </w:style>
  <w:style w:type="paragraph" w:styleId="Style34">
    <w:name w:val="Style3"/>
    <w:basedOn w:val="Normal"/>
    <w:qFormat/>
    <w:pPr>
      <w:widowControl w:val="false"/>
      <w:spacing w:lineRule="exact" w:line="238"/>
      <w:jc w:val="center"/>
    </w:pPr>
    <w:rPr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5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21">
    <w:name w:val="Style22"/>
    <w:basedOn w:val="Normal"/>
    <w:qFormat/>
    <w:pPr>
      <w:widowControl w:val="false"/>
      <w:spacing w:lineRule="exact" w:line="317"/>
      <w:ind w:left="0" w:right="0" w:firstLine="734"/>
    </w:pPr>
    <w:rPr>
      <w:sz w:val="24"/>
      <w:szCs w:val="24"/>
    </w:rPr>
  </w:style>
  <w:style w:type="paragraph" w:styleId="27">
    <w:name w:val="Обычный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0"/>
      <w:sz w:val="24"/>
      <w:szCs w:val="20"/>
      <w:lang w:val="ru-RU" w:eastAsia="zh-CN" w:bidi="ar-SA"/>
    </w:rPr>
  </w:style>
  <w:style w:type="paragraph" w:styleId="18">
    <w:name w:val="Основной текст1"/>
    <w:basedOn w:val="Normal"/>
    <w:qFormat/>
    <w:pPr>
      <w:shd w:val="clear" w:color="auto" w:fill="FFFFFF"/>
      <w:spacing w:lineRule="exact" w:line="288"/>
      <w:jc w:val="center"/>
    </w:pPr>
    <w:rPr>
      <w:sz w:val="27"/>
      <w:szCs w:val="27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000000"/>
      <w:kern w:val="0"/>
      <w:sz w:val="24"/>
      <w:szCs w:val="24"/>
      <w:lang w:val="ru-RU" w:eastAsia="zh-CN" w:bidi="ar-SA"/>
    </w:rPr>
  </w:style>
  <w:style w:type="paragraph" w:styleId="Style3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37">
    <w:name w:val="Содержимое врезки"/>
    <w:basedOn w:val="Normal"/>
    <w:qFormat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0"/>
      <w:sz w:val="28"/>
      <w:szCs w:val="24"/>
      <w:lang w:val="ru-RU" w:eastAsia="zh-CN" w:bidi="ar-SA"/>
    </w:rPr>
  </w:style>
  <w:style w:type="paragraph" w:styleId="211">
    <w:name w:val="Основной текст (2)1"/>
    <w:basedOn w:val="Normal"/>
    <w:qFormat/>
    <w:pPr>
      <w:widowControl w:val="false"/>
      <w:shd w:val="clear" w:color="auto" w:fill="FFFFFF"/>
      <w:spacing w:lineRule="atLeast" w:line="0" w:before="6420" w:after="0"/>
      <w:ind w:left="0" w:right="0" w:hanging="74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231">
    <w:name w:val="Основной текст (2)3"/>
    <w:basedOn w:val="Normal"/>
    <w:qFormat/>
    <w:pPr>
      <w:widowControl w:val="false"/>
      <w:shd w:val="clear" w:color="auto" w:fill="FFFFFF"/>
      <w:spacing w:lineRule="exact" w:line="307" w:before="0" w:after="240"/>
      <w:ind w:left="0" w:right="0" w:hanging="38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Style38">
    <w:name w:val="Содержимое таблицы"/>
    <w:basedOn w:val="Normal"/>
    <w:qFormat/>
    <w:pPr>
      <w:widowControl w:val="false"/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numbering" w:styleId="Style40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1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LibreOffice/7.5.6.2$Linux_X86_64 LibreOffice_project/50$Build-2</Application>
  <AppVersion>15.0000</AppVersion>
  <Pages>6</Pages>
  <Words>1558</Words>
  <Characters>5020</Characters>
  <CharactersWithSpaces>5386</CharactersWithSpaces>
  <Paragraphs>1197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2025-02-18T08:20:00Z</dcterms:created>
  <dc:creator>mash2</dc:creator>
  <dc:description/>
  <dc:language>ru-RU</dc:language>
  <cp:lastModifiedBy/>
  <dcterms:modified xsi:type="dcterms:W3CDTF">2025-04-03T13:58:34Z</dcterms:modified>
  <cp:revision>15</cp:revision>
  <dc:subject/>
  <dc:title> 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